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360" w:lineRule="auto"/>
        <w:jc w:val="center"/>
        <w:rPr>
          <w:rFonts w:hint="eastAsia" w:ascii="黑体" w:hAnsi="黑体" w:eastAsia="黑体" w:cs="Calibri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Calibri"/>
          <w:color w:val="000000"/>
          <w:sz w:val="32"/>
          <w:szCs w:val="32"/>
        </w:rPr>
        <w:t>上海市</w:t>
      </w:r>
      <w:r>
        <w:rPr>
          <w:rFonts w:hint="default" w:ascii="黑体" w:hAnsi="黑体" w:eastAsia="黑体" w:cs="Calibri"/>
          <w:color w:val="000000"/>
          <w:sz w:val="32"/>
          <w:szCs w:val="32"/>
          <w:lang w:val="en-US"/>
        </w:rPr>
        <w:t>宝山区</w:t>
      </w:r>
      <w:r>
        <w:rPr>
          <w:rFonts w:hint="eastAsia" w:ascii="黑体" w:hAnsi="黑体" w:eastAsia="黑体" w:cs="Calibri"/>
          <w:color w:val="000000"/>
          <w:sz w:val="32"/>
          <w:szCs w:val="32"/>
        </w:rPr>
        <w:t>产品质量监督抽查实施细则</w:t>
      </w:r>
    </w:p>
    <w:p>
      <w:pPr>
        <w:snapToGrid w:val="0"/>
        <w:spacing w:line="360" w:lineRule="auto"/>
        <w:jc w:val="center"/>
        <w:rPr>
          <w:rFonts w:hint="eastAsia" w:ascii="楷体" w:hAnsi="楷体" w:eastAsia="楷体" w:cs="微软雅黑"/>
          <w:color w:val="000000"/>
          <w:sz w:val="32"/>
          <w:szCs w:val="32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</w:rPr>
        <w:t>玩具产品</w:t>
      </w:r>
    </w:p>
    <w:p>
      <w:pPr>
        <w:snapToGrid w:val="0"/>
        <w:spacing w:line="440" w:lineRule="exact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 抽样方法</w:t>
      </w:r>
    </w:p>
    <w:p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hint="eastAsia" w:ascii="宋体" w:hAnsi="宋体" w:cs="Calibri"/>
          <w:color w:val="000000"/>
          <w:sz w:val="24"/>
          <w:szCs w:val="21"/>
        </w:rPr>
        <w:t>以随机方式在被抽样生产者、销售者的待销产品中抽取样品。</w:t>
      </w:r>
    </w:p>
    <w:p>
      <w:pPr>
        <w:snapToGrid w:val="0"/>
        <w:spacing w:line="440" w:lineRule="exact"/>
        <w:ind w:firstLine="480" w:firstLineChars="200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每批次样品最多抽取2批次，其中2批次作为检验样品，1批次作为备用样品。</w:t>
      </w:r>
    </w:p>
    <w:p>
      <w:pPr>
        <w:snapToGrid w:val="0"/>
        <w:spacing w:line="440" w:lineRule="exact"/>
        <w:ind w:firstLine="480" w:firstLineChars="200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抽取检验样品或备用样品不足最小销售包装的整数倍时，抽取最小销售包装的整数倍，不破坏最小销售包装。</w:t>
      </w:r>
    </w:p>
    <w:p>
      <w:pPr>
        <w:spacing w:line="460" w:lineRule="exact"/>
        <w:rPr>
          <w:rFonts w:hint="eastAsia" w:ascii="黑体" w:hAnsi="黑体" w:eastAsia="黑体" w:cs="Calibri"/>
          <w:color w:val="000000"/>
          <w:sz w:val="24"/>
          <w:szCs w:val="21"/>
        </w:rPr>
      </w:pPr>
      <w:r>
        <w:rPr>
          <w:rFonts w:ascii="黑体" w:hAnsi="黑体" w:eastAsia="黑体" w:cs="Calibri"/>
          <w:color w:val="000000"/>
          <w:sz w:val="24"/>
          <w:szCs w:val="21"/>
        </w:rPr>
        <w:t xml:space="preserve">2 </w:t>
      </w:r>
      <w:r>
        <w:rPr>
          <w:rFonts w:hint="eastAsia" w:ascii="黑体" w:hAnsi="黑体" w:eastAsia="黑体" w:cs="Calibri"/>
          <w:color w:val="000000"/>
          <w:sz w:val="24"/>
          <w:szCs w:val="21"/>
        </w:rPr>
        <w:t>检验项目和依据</w:t>
      </w:r>
    </w:p>
    <w:p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表1 玩具产品检验项目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2869"/>
        <w:gridCol w:w="2910"/>
        <w:gridCol w:w="2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393" w:type="pct"/>
            <w:vAlign w:val="center"/>
          </w:tcPr>
          <w:p>
            <w:pPr>
              <w:jc w:val="center"/>
              <w:rPr>
                <w:rFonts w:hint="eastAsia"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1564" w:type="pct"/>
            <w:vAlign w:val="center"/>
          </w:tcPr>
          <w:p>
            <w:pPr>
              <w:jc w:val="center"/>
              <w:rPr>
                <w:rFonts w:hint="eastAsia"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检</w:t>
            </w:r>
            <w:r>
              <w:rPr>
                <w:rFonts w:hint="eastAsia" w:ascii="宋体" w:hAnsi="宋体" w:cs="Calibri"/>
                <w:color w:val="000000"/>
                <w:szCs w:val="21"/>
              </w:rPr>
              <w:t>验</w:t>
            </w:r>
            <w:r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1586" w:type="pct"/>
            <w:vAlign w:val="center"/>
          </w:tcPr>
          <w:p>
            <w:pPr>
              <w:jc w:val="center"/>
              <w:rPr>
                <w:rFonts w:hint="eastAsia"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检验方法</w:t>
            </w:r>
          </w:p>
        </w:tc>
        <w:tc>
          <w:tcPr>
            <w:tcW w:w="1457" w:type="pct"/>
            <w:vAlign w:val="center"/>
          </w:tcPr>
          <w:p>
            <w:pPr>
              <w:jc w:val="center"/>
              <w:rPr>
                <w:rFonts w:hint="eastAsia"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强制性质量要求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000" w:type="pct"/>
            <w:gridSpan w:val="4"/>
            <w:vAlign w:val="center"/>
          </w:tcPr>
          <w:p>
            <w:pPr>
              <w:jc w:val="left"/>
              <w:rPr>
                <w:rFonts w:hint="eastAsia"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一</w:t>
            </w:r>
            <w:r>
              <w:rPr>
                <w:rFonts w:ascii="宋体" w:hAnsi="宋体" w:cs="Calibri"/>
                <w:color w:val="000000"/>
                <w:szCs w:val="21"/>
              </w:rPr>
              <w:t>、机械与物理性能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材料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/4.3、5.2、5.21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564" w:type="pct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小零件</w:t>
            </w:r>
          </w:p>
        </w:tc>
        <w:tc>
          <w:tcPr>
            <w:tcW w:w="1586" w:type="pct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/5.2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、5.24</w:t>
            </w:r>
          </w:p>
        </w:tc>
        <w:tc>
          <w:tcPr>
            <w:tcW w:w="1457" w:type="pct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564" w:type="pct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挤压玩具、摇铃及类似玩具</w:t>
            </w:r>
          </w:p>
        </w:tc>
        <w:tc>
          <w:tcPr>
            <w:tcW w:w="1586" w:type="pct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/5.3</w:t>
            </w:r>
          </w:p>
        </w:tc>
        <w:tc>
          <w:tcPr>
            <w:tcW w:w="1457" w:type="pct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/4.5.1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小球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/5.4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、5.24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/4.5.2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毛球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/5.5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5.24.6.3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/4.5.3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学前玩偶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/5.6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/4.5.4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玩具奶嘴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/4.5.5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（/4.5.5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气球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/4.5.6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/4.5.6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弹珠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/4.5.7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、5.24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/4.5.7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半球形玩具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/4.5.8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、5.24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/4.5.8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可触及的金属或玻璃边缘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/5.8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5.24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/4.6.1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功能性锐利边缘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/4.6.2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5.24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/4.6.2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金属玩具边缘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/5.8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5.24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/4.6.3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模塑玩具边缘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/4.6.4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5.24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/4.6.4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外露螺栓或螺纹杆的边缘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/4.6.5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5.24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可触及的锐利尖端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/5.9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5.24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/4.7.1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功能性锐利尖端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/4.7.2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5.24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/4.7.2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木制玩具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/4.7.3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5.24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1564" w:type="pct"/>
            <w:vAlign w:val="center"/>
          </w:tcPr>
          <w:p>
            <w:pPr>
              <w:pStyle w:val="3"/>
              <w:spacing w:line="300" w:lineRule="exact"/>
              <w:jc w:val="center"/>
              <w:rPr>
                <w:rFonts w:hint="eastAsia" w:hAnsi="宋体"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突出</w:t>
            </w: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物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4.8.1、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5.24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/4.8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564" w:type="pct"/>
            <w:vAlign w:val="center"/>
          </w:tcPr>
          <w:p>
            <w:pPr>
              <w:pStyle w:val="3"/>
              <w:spacing w:line="300" w:lineRule="exact"/>
              <w:jc w:val="center"/>
              <w:rPr>
                <w:rFonts w:hint="eastAsia" w:hAnsi="宋体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把手和其他类似的管子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GB 6675.2-2014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（含第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 4.8.2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GB 6675.2-2014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（含第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 4.8.2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金属丝和杆件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/5.8、5.9、5.24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用于包装或玩具中的塑料袋或塑料薄膜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/5.10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18个月以下儿童使用的玩具上的绳索和弹性绳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/4.11.1、5.11.1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18个月以下儿童使用的玩具上的自回缩绳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/5.11.2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36个月以下儿童使用的拖拉玩具上的绳索或弹性绳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/4.11.3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玩具袋上的绳索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/4.11.4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/4.11.4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童床或游戏围栏上的悬挂玩具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/4.11.5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童床上的健身玩具及类似玩具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/4.11.6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/4.11.6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飞行玩具的绳索、细绳或线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/4.11.7、5.11.3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/4.11.7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玩具推车、玩具婴儿车及类似玩具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/4.12.1、5.22.2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带有折叠机构的其他玩具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/4.12.2、5.22.3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铰链间隙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/4.12.3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/4.12.3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刚性材料上的圆孔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/4.13.1、5.7、5.24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活动部件间的间隙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/4.13.2、5.7、5.24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其他驱动机构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/4.13.4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5.7、5.24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发条钥匙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/4.13.5、5.7、5.24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弹簧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5.7、5.24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封闭式玩具的通风装置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/4.16.1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/4.16.1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封闭式玩具的关闭件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/5.13.1、5.13.2.1、5.13.2.2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/4.16.2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封闭头部的玩具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/4.16.3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/4.16.3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仿制防护玩具（头盔、帽子、护目镜）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/5.14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弹射玩具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的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一般要求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6675.2-2014（含第1号修改单）/5.30、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4.18.1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/4.18.1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43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蓄能弹射玩具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/4.18.2、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5.24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5.30、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5.15、5.2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/4.18.2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44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非蓄能弹射玩具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/4.18.3、5.24.5、5.24.6.4、5.15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/4.18.3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水上玩具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/4.19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46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热源玩具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/5.18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47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液体填充玩具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 5.19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口动玩具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/5.2、5.24.5、5.24.6.1、5.20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玩具滚轴溜冰鞋、单排滚轴溜冰鞋及玩具滑板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/4.26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玩具火药帽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/4.27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51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声响要求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/4.28、5.25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磁体和磁性部件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/5.2、5.24、5.26、5.27、5.28、5.29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GB 6675.2-2014（含第1号修改单）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/4.29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000" w:type="pct"/>
            <w:gridSpan w:val="4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、易燃性能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一般要求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GB 6675.3-2014/4.1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GB 6675.3-2014/4.1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头戴玩具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GB 6675.3-2014/5.2、5.3、5.4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GB 6675.3-2014/4.2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化妆服饰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GB 6675.3-2014/5.4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GB 6675.3-2014/4.3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供儿童进入的玩具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GB6675.3-2014/5.4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GB6675.3-2014/4.4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具有毛绒或纺织表面的软体填充玩具（动物和娃娃等）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GB 6675.3-2014/5.5、5.6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GB 6675.3-2014/4.5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000" w:type="pct"/>
            <w:gridSpan w:val="4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、特定元素的迁移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最大限量要求</w:t>
            </w:r>
          </w:p>
        </w:tc>
        <w:tc>
          <w:tcPr>
            <w:tcW w:w="1586" w:type="pct"/>
            <w:vAlign w:val="center"/>
          </w:tcPr>
          <w:p>
            <w:pPr>
              <w:pStyle w:val="3"/>
              <w:spacing w:line="300" w:lineRule="exact"/>
              <w:jc w:val="center"/>
              <w:rPr>
                <w:rFonts w:hint="eastAsia" w:hAnsi="宋体"/>
                <w:color w:val="000000"/>
                <w:sz w:val="21"/>
                <w:szCs w:val="21"/>
              </w:rPr>
            </w:pPr>
            <w:r>
              <w:rPr>
                <w:rFonts w:hAnsi="宋体"/>
                <w:color w:val="000000"/>
                <w:sz w:val="21"/>
                <w:szCs w:val="21"/>
              </w:rPr>
              <w:t>GB 6675.4—2014</w:t>
            </w:r>
          </w:p>
          <w:p>
            <w:pPr>
              <w:pStyle w:val="3"/>
              <w:spacing w:line="300" w:lineRule="exact"/>
              <w:jc w:val="center"/>
              <w:rPr>
                <w:rFonts w:hint="eastAsia" w:hAnsi="宋体"/>
                <w:color w:val="000000"/>
                <w:sz w:val="21"/>
                <w:szCs w:val="21"/>
              </w:rPr>
            </w:pPr>
            <w:r>
              <w:rPr>
                <w:rFonts w:hAnsi="宋体"/>
                <w:color w:val="000000"/>
                <w:sz w:val="21"/>
                <w:szCs w:val="21"/>
              </w:rPr>
              <w:t>GB/T 26193—2010</w:t>
            </w:r>
            <w:r>
              <w:rPr>
                <w:rFonts w:hint="eastAsia" w:hAnsi="宋体"/>
                <w:color w:val="000000"/>
                <w:sz w:val="21"/>
                <w:szCs w:val="21"/>
              </w:rPr>
              <w:t>或</w:t>
            </w:r>
          </w:p>
          <w:p>
            <w:pPr>
              <w:pStyle w:val="3"/>
              <w:spacing w:line="300" w:lineRule="exact"/>
              <w:jc w:val="center"/>
              <w:rPr>
                <w:rFonts w:hint="eastAsia" w:hAnsi="宋体"/>
                <w:color w:val="000000"/>
                <w:sz w:val="21"/>
                <w:szCs w:val="21"/>
              </w:rPr>
            </w:pPr>
            <w:r>
              <w:rPr>
                <w:rFonts w:hAnsi="宋体"/>
                <w:color w:val="000000"/>
                <w:sz w:val="21"/>
                <w:szCs w:val="21"/>
              </w:rPr>
              <w:t>GB/T 30419—2013</w:t>
            </w:r>
            <w:r>
              <w:rPr>
                <w:rFonts w:hint="eastAsia" w:hAnsi="宋体"/>
                <w:color w:val="000000"/>
                <w:sz w:val="21"/>
                <w:szCs w:val="21"/>
              </w:rPr>
              <w:t>或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“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GB/T 32602—2016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GB/T 32603—2016”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GB 6675.1-2014/5.3.3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GB 6675.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-2014/4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000" w:type="pct"/>
            <w:gridSpan w:val="4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、增塑剂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564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限定增塑剂限量要求</w:t>
            </w:r>
          </w:p>
        </w:tc>
        <w:tc>
          <w:tcPr>
            <w:tcW w:w="1586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GB/T 22048-2022</w:t>
            </w:r>
          </w:p>
        </w:tc>
        <w:tc>
          <w:tcPr>
            <w:tcW w:w="1457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GB 6675.1-2014/5.3.7</w:t>
            </w:r>
          </w:p>
        </w:tc>
      </w:tr>
    </w:tbl>
    <w:p>
      <w:pPr>
        <w:spacing w:line="460" w:lineRule="exact"/>
        <w:rPr>
          <w:rFonts w:hint="eastAsia" w:ascii="黑体" w:hAnsi="黑体" w:eastAsia="黑体" w:cs="Calibri"/>
          <w:color w:val="000000"/>
          <w:sz w:val="24"/>
        </w:rPr>
      </w:pPr>
    </w:p>
    <w:p>
      <w:pPr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ascii="黑体" w:hAnsi="黑体" w:eastAsia="黑体" w:cs="Calibri"/>
          <w:color w:val="000000"/>
          <w:sz w:val="24"/>
        </w:rPr>
        <w:t xml:space="preserve">3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>
      <w:pPr>
        <w:snapToGrid w:val="0"/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ascii="宋体" w:hAnsi="宋体" w:cs="Calibri"/>
          <w:color w:val="000000"/>
          <w:sz w:val="24"/>
        </w:rPr>
        <w:t>3.1 判定</w:t>
      </w:r>
      <w:r>
        <w:rPr>
          <w:rFonts w:hint="eastAsia" w:ascii="宋体" w:hAnsi="宋体" w:cs="Calibri"/>
          <w:color w:val="000000"/>
          <w:sz w:val="24"/>
        </w:rPr>
        <w:t>规则</w:t>
      </w:r>
    </w:p>
    <w:p>
      <w:pPr>
        <w:snapToGrid w:val="0"/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hint="eastAsia" w:ascii="宋体" w:hAnsi="宋体" w:cs="Calibri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hint="eastAsia" w:ascii="宋体" w:hAnsi="宋体" w:cs="Calibri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hint="eastAsia" w:ascii="宋体" w:hAnsi="宋体" w:cs="Calibri"/>
          <w:color w:val="000000"/>
          <w:sz w:val="24"/>
        </w:rPr>
        <w:t>状况</w:t>
      </w:r>
      <w:r>
        <w:rPr>
          <w:rFonts w:ascii="宋体" w:hAnsi="宋体" w:cs="Calibri"/>
          <w:color w:val="000000"/>
          <w:sz w:val="24"/>
        </w:rPr>
        <w:t>高于本细则中</w:t>
      </w:r>
      <w:r>
        <w:rPr>
          <w:rFonts w:hint="eastAsia" w:ascii="宋体" w:hAnsi="宋体" w:cs="Calibri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hint="eastAsia" w:ascii="宋体" w:hAnsi="宋体" w:cs="Calibri"/>
          <w:color w:val="000000"/>
          <w:sz w:val="24"/>
        </w:rPr>
        <w:t>对应的质量</w:t>
      </w:r>
      <w:r>
        <w:rPr>
          <w:rFonts w:ascii="宋体" w:hAnsi="宋体" w:cs="Calibri"/>
          <w:color w:val="000000"/>
          <w:sz w:val="24"/>
        </w:rPr>
        <w:t>要求时，</w:t>
      </w:r>
      <w:r>
        <w:rPr>
          <w:rFonts w:hint="eastAsia" w:ascii="宋体" w:hAnsi="宋体" w:cs="Calibri"/>
          <w:color w:val="000000"/>
          <w:sz w:val="24"/>
        </w:rPr>
        <w:t>按照</w:t>
      </w:r>
      <w:r>
        <w:rPr>
          <w:rFonts w:ascii="宋体" w:hAnsi="宋体" w:cs="Calibri"/>
          <w:color w:val="000000"/>
          <w:sz w:val="24"/>
        </w:rPr>
        <w:t>被</w:t>
      </w:r>
      <w:r>
        <w:rPr>
          <w:rFonts w:hint="eastAsia" w:ascii="宋体" w:hAnsi="宋体" w:cs="Calibri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产品明示的质量要求判定。</w:t>
      </w:r>
    </w:p>
    <w:p>
      <w:pPr>
        <w:snapToGrid w:val="0"/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hint="eastAsia" w:ascii="宋体" w:hAnsi="宋体" w:cs="Calibri"/>
          <w:color w:val="000000"/>
          <w:sz w:val="24"/>
        </w:rPr>
        <w:t>2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hint="eastAsia" w:ascii="宋体" w:hAnsi="宋体" w:cs="Calibri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hint="eastAsia" w:ascii="宋体" w:hAnsi="宋体" w:cs="Calibri"/>
          <w:color w:val="000000"/>
          <w:sz w:val="24"/>
        </w:rPr>
        <w:t>状况缺少、低于或包含</w:t>
      </w:r>
      <w:r>
        <w:rPr>
          <w:rFonts w:ascii="宋体" w:hAnsi="宋体" w:cs="Calibri"/>
          <w:color w:val="000000"/>
          <w:sz w:val="24"/>
        </w:rPr>
        <w:t>本细则中</w:t>
      </w:r>
      <w:r>
        <w:rPr>
          <w:rFonts w:hint="eastAsia" w:ascii="宋体" w:hAnsi="宋体" w:cs="Calibri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hint="eastAsia" w:ascii="宋体" w:hAnsi="宋体" w:cs="Calibri"/>
          <w:color w:val="000000"/>
          <w:sz w:val="24"/>
        </w:rPr>
        <w:t>对应</w:t>
      </w:r>
      <w:r>
        <w:rPr>
          <w:rFonts w:ascii="宋体" w:hAnsi="宋体" w:cs="Calibri"/>
          <w:color w:val="000000"/>
          <w:sz w:val="24"/>
        </w:rPr>
        <w:t>的强制性</w:t>
      </w:r>
      <w:r>
        <w:rPr>
          <w:rFonts w:hint="eastAsia" w:ascii="宋体" w:hAnsi="宋体" w:cs="Calibri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要求时，按照强制性</w:t>
      </w:r>
      <w:r>
        <w:rPr>
          <w:rFonts w:hint="eastAsia" w:ascii="宋体" w:hAnsi="宋体" w:cs="Calibri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要求判定。</w:t>
      </w:r>
    </w:p>
    <w:p>
      <w:pPr>
        <w:snapToGrid w:val="0"/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</w:t>
      </w:r>
      <w:r>
        <w:rPr>
          <w:rFonts w:hint="eastAsia" w:ascii="宋体" w:hAnsi="宋体" w:cs="Calibri"/>
          <w:color w:val="000000"/>
          <w:sz w:val="24"/>
        </w:rPr>
        <w:t>2</w:t>
      </w:r>
      <w:r>
        <w:rPr>
          <w:rFonts w:ascii="宋体" w:hAnsi="宋体" w:cs="Calibri"/>
          <w:color w:val="000000"/>
          <w:sz w:val="24"/>
        </w:rPr>
        <w:t xml:space="preserve"> </w:t>
      </w:r>
      <w:r>
        <w:rPr>
          <w:rFonts w:hint="eastAsia" w:ascii="宋体" w:hAnsi="宋体" w:cs="Calibri"/>
          <w:color w:val="000000"/>
          <w:sz w:val="24"/>
        </w:rPr>
        <w:t>结果判定</w:t>
      </w:r>
    </w:p>
    <w:p>
      <w:pPr>
        <w:snapToGrid w:val="0"/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 xml:space="preserve">.2.1 </w:t>
      </w:r>
      <w:r>
        <w:rPr>
          <w:rFonts w:hint="eastAsia" w:ascii="宋体" w:hAnsi="宋体" w:cs="Calibri"/>
          <w:color w:val="000000"/>
          <w:sz w:val="24"/>
        </w:rPr>
        <w:t>参与判定的</w:t>
      </w:r>
      <w:r>
        <w:rPr>
          <w:rFonts w:ascii="宋体" w:hAnsi="宋体" w:cs="Calibri"/>
          <w:color w:val="000000"/>
          <w:sz w:val="24"/>
        </w:rPr>
        <w:t>检</w:t>
      </w:r>
      <w:r>
        <w:rPr>
          <w:rFonts w:hint="eastAsia" w:ascii="宋体" w:hAnsi="宋体" w:cs="Calibri"/>
          <w:color w:val="000000"/>
          <w:sz w:val="24"/>
        </w:rPr>
        <w:t>验</w:t>
      </w:r>
      <w:r>
        <w:rPr>
          <w:rFonts w:ascii="宋体" w:hAnsi="宋体" w:cs="Calibri"/>
          <w:color w:val="000000"/>
          <w:sz w:val="24"/>
        </w:rPr>
        <w:t>项目中任一项或一项以上不</w:t>
      </w:r>
      <w:r>
        <w:rPr>
          <w:rFonts w:hint="eastAsia" w:ascii="宋体" w:hAnsi="宋体" w:cs="Calibri"/>
          <w:color w:val="000000"/>
          <w:sz w:val="24"/>
        </w:rPr>
        <w:t>符合对应的质量要求</w:t>
      </w:r>
      <w:r>
        <w:rPr>
          <w:rFonts w:ascii="宋体" w:hAnsi="宋体" w:cs="Calibri"/>
          <w:color w:val="000000"/>
          <w:sz w:val="24"/>
        </w:rPr>
        <w:t>，判定为被抽查产品不合格。</w:t>
      </w:r>
    </w:p>
    <w:p>
      <w:pPr>
        <w:snapToGrid w:val="0"/>
        <w:spacing w:line="440" w:lineRule="exact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 xml:space="preserve">.2.2 </w:t>
      </w:r>
      <w:r>
        <w:rPr>
          <w:rFonts w:hint="eastAsia" w:ascii="宋体" w:hAnsi="宋体" w:cs="Calibri"/>
          <w:color w:val="000000"/>
          <w:sz w:val="24"/>
        </w:rPr>
        <w:t>若检验项目全部符合质量要求，表明未发现被抽查产品不合格，不判定被抽查产品合格。</w:t>
      </w:r>
    </w:p>
    <w:p>
      <w:pPr>
        <w:spacing w:line="460" w:lineRule="exact"/>
        <w:rPr>
          <w:rFonts w:hint="eastAsia" w:ascii="宋体" w:hAnsi="宋体"/>
          <w:color w:val="000000"/>
          <w:sz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985" w:right="1361" w:bottom="136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ourier New">
    <w:altName w:val="DejaVu Sans"/>
    <w:panose1 w:val="02070309020002020404"/>
    <w:charset w:val="00"/>
    <w:family w:val="modern"/>
    <w:pitch w:val="default"/>
    <w:sig w:usb0="00000000" w:usb1="00000000" w:usb2="00000009" w:usb3="00000000" w:csb0="0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方正楷体_GBK"/>
    <w:panose1 w:val="02010609060001010101"/>
    <w:charset w:val="86"/>
    <w:family w:val="modern"/>
    <w:pitch w:val="default"/>
    <w:sig w:usb0="00000000" w:usb1="00000000" w:usb2="00000016" w:usb3="00000000" w:csb0="00040001" w:csb1="00000000"/>
  </w:font>
  <w:font w:name="微软雅黑">
    <w:altName w:val="黑体"/>
    <w:panose1 w:val="020B0503020002020204"/>
    <w:charset w:val="86"/>
    <w:family w:val="swiss"/>
    <w:pitch w:val="default"/>
    <w:sig w:usb0="00000000" w:usb1="00000000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7</w:t>
    </w:r>
    <w:r>
      <w:rPr>
        <w:lang w:val="zh-CN"/>
      </w:rPr>
      <w:fldChar w:fldCharType="end"/>
    </w:r>
  </w:p>
  <w:p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>
    <w:pPr>
      <w:pStyle w:val="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A6B1C0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qFormat/>
    <w:uiPriority w:val="1"/>
  </w:style>
  <w:style w:type="table" w:default="1" w:styleId="8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99"/>
    <w:pPr>
      <w:jc w:val="left"/>
    </w:pPr>
  </w:style>
  <w:style w:type="paragraph" w:styleId="3">
    <w:name w:val="Plain Text"/>
    <w:basedOn w:val="1"/>
    <w:link w:val="17"/>
    <w:qFormat/>
    <w:uiPriority w:val="99"/>
    <w:rPr>
      <w:rFonts w:ascii="宋体" w:hAnsi="Courier New" w:cs="宋体"/>
      <w:kern w:val="0"/>
      <w:sz w:val="20"/>
      <w:szCs w:val="20"/>
    </w:rPr>
  </w:style>
  <w:style w:type="paragraph" w:styleId="4">
    <w:name w:val="Balloon Text"/>
    <w:basedOn w:val="1"/>
    <w:link w:val="15"/>
    <w:qFormat/>
    <w:uiPriority w:val="99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9"/>
    <w:qFormat/>
    <w:uiPriority w:val="99"/>
    <w:rPr>
      <w:b/>
      <w:bCs/>
    </w:r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3">
    <w:name w:val="页脚 字符"/>
    <w:basedOn w:val="9"/>
    <w:link w:val="5"/>
    <w:qFormat/>
    <w:uiPriority w:val="99"/>
    <w:rPr>
      <w:kern w:val="2"/>
      <w:sz w:val="18"/>
      <w:szCs w:val="18"/>
    </w:rPr>
  </w:style>
  <w:style w:type="character" w:customStyle="1" w:styleId="14">
    <w:name w:val="页眉 字符"/>
    <w:basedOn w:val="9"/>
    <w:link w:val="6"/>
    <w:qFormat/>
    <w:uiPriority w:val="99"/>
    <w:rPr>
      <w:kern w:val="2"/>
      <w:sz w:val="18"/>
      <w:szCs w:val="18"/>
    </w:rPr>
  </w:style>
  <w:style w:type="character" w:customStyle="1" w:styleId="15">
    <w:name w:val="批注框文本 字符"/>
    <w:basedOn w:val="9"/>
    <w:link w:val="4"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纯文本 字符"/>
    <w:basedOn w:val="9"/>
    <w:link w:val="3"/>
    <w:qFormat/>
    <w:uiPriority w:val="99"/>
    <w:rPr>
      <w:rFonts w:ascii="宋体" w:hAnsi="Courier New" w:cs="宋体"/>
    </w:rPr>
  </w:style>
  <w:style w:type="character" w:customStyle="1" w:styleId="18">
    <w:name w:val="批注文字 字符"/>
    <w:basedOn w:val="9"/>
    <w:link w:val="2"/>
    <w:qFormat/>
    <w:uiPriority w:val="99"/>
    <w:rPr>
      <w:kern w:val="2"/>
      <w:sz w:val="21"/>
      <w:szCs w:val="24"/>
    </w:rPr>
  </w:style>
  <w:style w:type="character" w:customStyle="1" w:styleId="19">
    <w:name w:val="批注主题 字符"/>
    <w:basedOn w:val="18"/>
    <w:link w:val="7"/>
    <w:qFormat/>
    <w:uiPriority w:val="99"/>
    <w:rPr>
      <w:b/>
      <w:bCs/>
      <w:kern w:val="2"/>
      <w:sz w:val="21"/>
      <w:szCs w:val="24"/>
    </w:rPr>
  </w:style>
  <w:style w:type="paragraph" w:customStyle="1" w:styleId="20">
    <w:name w:val="修订1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">
    <w:name w:val="修订2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Legend (Beijing) Limited</Company>
  <Pages>5</Pages>
  <Words>2347</Words>
  <Characters>4523</Characters>
  <Paragraphs>338</Paragraphs>
  <TotalTime>14</TotalTime>
  <ScaleCrop>false</ScaleCrop>
  <LinksUpToDate>false</LinksUpToDate>
  <CharactersWithSpaces>4659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2024-12-17T18:12:00Z</dcterms:created>
  <dc:creator>Legend User</dc:creator>
  <cp:lastModifiedBy>user</cp:lastModifiedBy>
  <cp:lastPrinted>2019-12-06T23:53:00Z</cp:lastPrinted>
  <dcterms:modified xsi:type="dcterms:W3CDTF">2026-09-09T10:42:37Z</dcterms:modified>
  <dc:title>××产品质量监督抽查实施细则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450afbc41ebc46ea8f01fd5c489bfc40_23</vt:lpwstr>
  </property>
  <property fmtid="{D5CDD505-2E9C-101B-9397-08002B2CF9AE}" pid="4" name="KSOTemplateDocerSaveRecord">
    <vt:lpwstr>eyJoZGlkIjoiYjU1YjhlNjg5ZDZiMGJjMTc0ODQxMjhkNmQyM2I1YmEiLCJ1c2VySWQiOiI1OTQ0OTUyNzIifQ==</vt:lpwstr>
  </property>
</Properties>
</file>